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A8D" w:rsidRDefault="00B43EE9">
      <w:pPr>
        <w:pStyle w:val="Titolo"/>
        <w:spacing w:before="0" w:after="0" w:line="240" w:lineRule="auto"/>
        <w:jc w:val="center"/>
        <w:rPr>
          <w:rFonts w:ascii="Cambria" w:eastAsia="Cambria" w:hAnsi="Cambria" w:cs="Cambria"/>
          <w:sz w:val="32"/>
          <w:szCs w:val="32"/>
        </w:rPr>
      </w:pPr>
      <w:r>
        <w:rPr>
          <w:rFonts w:ascii="Cambria" w:eastAsia="Cambria" w:hAnsi="Cambria" w:cs="Cambria"/>
          <w:sz w:val="32"/>
          <w:szCs w:val="32"/>
        </w:rPr>
        <w:t>Regolamento per l’utilizzo e l’accesso ai laboratori</w:t>
      </w:r>
    </w:p>
    <w:p w:rsidR="00586A8D" w:rsidRDefault="00B43EE9">
      <w:pPr>
        <w:pStyle w:val="Titolo"/>
        <w:spacing w:before="0" w:after="0" w:line="240" w:lineRule="auto"/>
        <w:jc w:val="center"/>
        <w:rPr>
          <w:rFonts w:ascii="Cambria" w:eastAsia="Cambria" w:hAnsi="Cambria" w:cs="Cambria"/>
          <w:sz w:val="32"/>
          <w:szCs w:val="32"/>
        </w:rPr>
      </w:pPr>
      <w:r>
        <w:rPr>
          <w:rFonts w:ascii="Cambria" w:eastAsia="Cambria" w:hAnsi="Cambria" w:cs="Cambria"/>
          <w:sz w:val="32"/>
          <w:szCs w:val="32"/>
        </w:rPr>
        <w:t>del Dipartimento di Ingegneria “Enzo Ferrari”</w:t>
      </w:r>
      <w:r w:rsidR="00CD36C2">
        <w:rPr>
          <w:rFonts w:ascii="Cambria" w:eastAsia="Cambria" w:hAnsi="Cambria" w:cs="Cambria"/>
          <w:sz w:val="32"/>
          <w:szCs w:val="32"/>
        </w:rPr>
        <w:t xml:space="preserve"> –</w:t>
      </w:r>
    </w:p>
    <w:p w:rsidR="00CD36C2" w:rsidRPr="00B60E65" w:rsidRDefault="00CD36C2" w:rsidP="00B60E65">
      <w:pPr>
        <w:jc w:val="center"/>
        <w:rPr>
          <w:rFonts w:ascii="Cambria" w:eastAsia="Cambria" w:hAnsi="Cambria" w:cs="Cambria"/>
          <w:b/>
          <w:sz w:val="32"/>
          <w:szCs w:val="32"/>
        </w:rPr>
      </w:pPr>
      <w:r w:rsidRPr="00B60E65">
        <w:rPr>
          <w:rFonts w:ascii="Cambria" w:eastAsia="Cambria" w:hAnsi="Cambria" w:cs="Cambria"/>
          <w:b/>
          <w:sz w:val="32"/>
          <w:szCs w:val="32"/>
        </w:rPr>
        <w:t>Lab: MO2</w:t>
      </w:r>
      <w:r w:rsidR="00330568" w:rsidRPr="00B60E65">
        <w:rPr>
          <w:rFonts w:ascii="Cambria" w:eastAsia="Cambria" w:hAnsi="Cambria" w:cs="Cambria"/>
          <w:b/>
          <w:sz w:val="32"/>
          <w:szCs w:val="32"/>
        </w:rPr>
        <w:t>7</w:t>
      </w:r>
      <w:r w:rsidRPr="00B60E65">
        <w:rPr>
          <w:rFonts w:ascii="Cambria" w:eastAsia="Cambria" w:hAnsi="Cambria" w:cs="Cambria"/>
          <w:b/>
          <w:sz w:val="32"/>
          <w:szCs w:val="32"/>
        </w:rPr>
        <w:t>-</w:t>
      </w:r>
      <w:r w:rsidR="00330568" w:rsidRPr="00B60E65">
        <w:rPr>
          <w:rFonts w:ascii="Cambria" w:eastAsia="Cambria" w:hAnsi="Cambria" w:cs="Cambria"/>
          <w:b/>
          <w:sz w:val="32"/>
          <w:szCs w:val="32"/>
        </w:rPr>
        <w:t>00</w:t>
      </w:r>
      <w:r w:rsidRPr="00B60E65">
        <w:rPr>
          <w:rFonts w:ascii="Cambria" w:eastAsia="Cambria" w:hAnsi="Cambria" w:cs="Cambria"/>
          <w:b/>
          <w:sz w:val="32"/>
          <w:szCs w:val="32"/>
        </w:rPr>
        <w:t>-</w:t>
      </w:r>
      <w:r w:rsidR="00330568" w:rsidRPr="00B60E65">
        <w:rPr>
          <w:rFonts w:ascii="Cambria" w:eastAsia="Cambria" w:hAnsi="Cambria" w:cs="Cambria"/>
          <w:b/>
          <w:sz w:val="32"/>
          <w:szCs w:val="32"/>
        </w:rPr>
        <w:t>031</w:t>
      </w:r>
    </w:p>
    <w:p w:rsidR="00586A8D" w:rsidRDefault="00586A8D">
      <w:pPr>
        <w:rPr>
          <w:rFonts w:ascii="Cambria" w:eastAsia="Cambria" w:hAnsi="Cambria" w:cs="Cambria"/>
        </w:rPr>
      </w:pPr>
    </w:p>
    <w:p w:rsidR="00586A8D" w:rsidRDefault="00586A8D">
      <w:pPr>
        <w:rPr>
          <w:rFonts w:ascii="Cambria" w:eastAsia="Cambria" w:hAnsi="Cambria" w:cs="Cambria"/>
        </w:rPr>
      </w:pPr>
    </w:p>
    <w:p w:rsidR="00586A8D" w:rsidRDefault="00B43EE9">
      <w:pPr>
        <w:jc w:val="both"/>
        <w:rPr>
          <w:rFonts w:ascii="Cambria" w:eastAsia="Cambria" w:hAnsi="Cambria" w:cs="Cambria"/>
          <w:sz w:val="22"/>
          <w:szCs w:val="22"/>
        </w:rPr>
      </w:pPr>
      <w:r>
        <w:rPr>
          <w:rFonts w:ascii="Cambria" w:eastAsia="Cambria" w:hAnsi="Cambria" w:cs="Cambria"/>
          <w:sz w:val="22"/>
          <w:szCs w:val="22"/>
        </w:rPr>
        <w:t>Il presente regolamento è rivolto al personale strutturato (docenti, ricercatori, personale tecnico-amministrativo) e non strutturato (assegnisti di ricerca, dottorandi di ricerca, titolari di borse di studio, studenti durante lo svolgimento di Attività Progettuali, ospiti, ecc.), di seguito denominato ‘lavoratore’, che svolga attività di laboratorio.</w:t>
      </w:r>
    </w:p>
    <w:p w:rsidR="00586A8D" w:rsidRDefault="00586A8D">
      <w:pPr>
        <w:rPr>
          <w:rFonts w:ascii="Cambria" w:eastAsia="Cambria" w:hAnsi="Cambria" w:cs="Cambria"/>
          <w:sz w:val="22"/>
          <w:szCs w:val="22"/>
        </w:rPr>
      </w:pPr>
    </w:p>
    <w:p w:rsidR="00586A8D" w:rsidRDefault="00586A8D">
      <w:pPr>
        <w:jc w:val="center"/>
        <w:rPr>
          <w:rFonts w:ascii="Cambria" w:eastAsia="Cambria" w:hAnsi="Cambria" w:cs="Cambria"/>
          <w:sz w:val="22"/>
          <w:szCs w:val="22"/>
        </w:rPr>
      </w:pPr>
    </w:p>
    <w:p w:rsidR="00586A8D" w:rsidRDefault="00B43EE9">
      <w:pPr>
        <w:jc w:val="center"/>
        <w:rPr>
          <w:rFonts w:ascii="Cambria" w:eastAsia="Cambria" w:hAnsi="Cambria" w:cs="Cambria"/>
          <w:b/>
          <w:sz w:val="28"/>
          <w:szCs w:val="28"/>
        </w:rPr>
      </w:pPr>
      <w:r>
        <w:rPr>
          <w:rFonts w:ascii="Cambria" w:eastAsia="Cambria" w:hAnsi="Cambria" w:cs="Cambria"/>
          <w:b/>
          <w:sz w:val="28"/>
          <w:szCs w:val="28"/>
        </w:rPr>
        <w:t>Accesso ai laboratori</w:t>
      </w:r>
    </w:p>
    <w:p w:rsidR="00586A8D" w:rsidRDefault="00B43EE9">
      <w:pPr>
        <w:rPr>
          <w:rFonts w:ascii="Cambria" w:eastAsia="Cambria" w:hAnsi="Cambria" w:cs="Cambria"/>
          <w:sz w:val="22"/>
          <w:szCs w:val="22"/>
        </w:rPr>
      </w:pPr>
      <w:r>
        <w:rPr>
          <w:rFonts w:ascii="Cambria" w:eastAsia="Cambria" w:hAnsi="Cambria" w:cs="Cambria"/>
          <w:sz w:val="22"/>
          <w:szCs w:val="22"/>
        </w:rPr>
        <w:t xml:space="preserve">Per l’accesso ai laboratori è </w:t>
      </w:r>
      <w:r>
        <w:rPr>
          <w:rFonts w:ascii="Cambria" w:eastAsia="Cambria" w:hAnsi="Cambria" w:cs="Cambria"/>
          <w:sz w:val="22"/>
          <w:szCs w:val="22"/>
          <w:u w:val="single"/>
        </w:rPr>
        <w:t>OBBLIGATORIO</w:t>
      </w:r>
      <w:r>
        <w:rPr>
          <w:rFonts w:ascii="Cambria" w:eastAsia="Cambria" w:hAnsi="Cambria" w:cs="Cambria"/>
          <w:sz w:val="22"/>
          <w:szCs w:val="22"/>
        </w:rPr>
        <w:t xml:space="preserve"> il preventivo completamento dei percorsi formativ</w:t>
      </w:r>
      <w:r w:rsidR="00CD36C2">
        <w:rPr>
          <w:rFonts w:ascii="Cambria" w:eastAsia="Cambria" w:hAnsi="Cambria" w:cs="Cambria"/>
          <w:sz w:val="22"/>
          <w:szCs w:val="22"/>
        </w:rPr>
        <w:t xml:space="preserve">i a distanza (FAD) </w:t>
      </w:r>
      <w:proofErr w:type="spellStart"/>
      <w:r w:rsidR="00CD36C2">
        <w:rPr>
          <w:rFonts w:ascii="Cambria" w:eastAsia="Cambria" w:hAnsi="Cambria" w:cs="Cambria"/>
          <w:sz w:val="22"/>
          <w:szCs w:val="22"/>
        </w:rPr>
        <w:t>Sicurmore</w:t>
      </w:r>
      <w:proofErr w:type="spellEnd"/>
      <w:r w:rsidR="00CD36C2">
        <w:rPr>
          <w:rFonts w:ascii="Cambria" w:eastAsia="Cambria" w:hAnsi="Cambria" w:cs="Cambria"/>
          <w:sz w:val="22"/>
          <w:szCs w:val="22"/>
        </w:rPr>
        <w:t xml:space="preserve"> (12</w:t>
      </w:r>
      <w:r>
        <w:rPr>
          <w:rFonts w:ascii="Cambria" w:eastAsia="Cambria" w:hAnsi="Cambria" w:cs="Cambria"/>
          <w:sz w:val="22"/>
          <w:szCs w:val="22"/>
        </w:rPr>
        <w:t>h):</w:t>
      </w:r>
    </w:p>
    <w:p w:rsidR="00586A8D" w:rsidRDefault="00B43EE9">
      <w:pPr>
        <w:rPr>
          <w:rFonts w:ascii="Cambria" w:eastAsia="Cambria" w:hAnsi="Cambria" w:cs="Cambria"/>
          <w:sz w:val="22"/>
          <w:szCs w:val="22"/>
        </w:rPr>
      </w:pPr>
      <w:r>
        <w:rPr>
          <w:rFonts w:ascii="Cambria" w:eastAsia="Cambria" w:hAnsi="Cambria" w:cs="Cambria"/>
          <w:sz w:val="22"/>
          <w:szCs w:val="22"/>
        </w:rPr>
        <w:t>Modulo 1 - Formazione Generale</w:t>
      </w:r>
    </w:p>
    <w:p w:rsidR="00586A8D" w:rsidRDefault="00B43EE9">
      <w:pPr>
        <w:rPr>
          <w:rFonts w:ascii="Cambria" w:eastAsia="Cambria" w:hAnsi="Cambria" w:cs="Cambria"/>
          <w:sz w:val="22"/>
          <w:szCs w:val="22"/>
        </w:rPr>
      </w:pPr>
      <w:r>
        <w:rPr>
          <w:rFonts w:ascii="Cambria" w:eastAsia="Cambria" w:hAnsi="Cambria" w:cs="Cambria"/>
          <w:sz w:val="22"/>
          <w:szCs w:val="22"/>
        </w:rPr>
        <w:t>Modulo 2 - Formazione Specifica: rischio basso</w:t>
      </w:r>
    </w:p>
    <w:p w:rsidR="00586A8D" w:rsidRDefault="00B43EE9">
      <w:pPr>
        <w:rPr>
          <w:rFonts w:ascii="Cambria" w:eastAsia="Cambria" w:hAnsi="Cambria" w:cs="Cambria"/>
          <w:sz w:val="22"/>
          <w:szCs w:val="22"/>
        </w:rPr>
      </w:pPr>
      <w:r>
        <w:rPr>
          <w:rFonts w:ascii="Cambria" w:eastAsia="Cambria" w:hAnsi="Cambria" w:cs="Cambria"/>
          <w:sz w:val="22"/>
          <w:szCs w:val="22"/>
        </w:rPr>
        <w:t>Modulo 3 - Formazione Specifica: rischio medio</w:t>
      </w:r>
    </w:p>
    <w:p w:rsidR="00586A8D" w:rsidRDefault="005D30FB">
      <w:pPr>
        <w:rPr>
          <w:rFonts w:ascii="Cambria" w:eastAsia="Cambria" w:hAnsi="Cambria" w:cs="Cambria"/>
          <w:sz w:val="22"/>
          <w:szCs w:val="22"/>
        </w:rPr>
      </w:pPr>
      <w:r w:rsidRPr="005D30FB">
        <w:rPr>
          <w:rFonts w:ascii="Cambria" w:eastAsia="Cambria" w:hAnsi="Cambria" w:cs="Cambria"/>
          <w:sz w:val="22"/>
          <w:szCs w:val="22"/>
        </w:rPr>
        <w:t xml:space="preserve">accessibili all’indirizzo </w:t>
      </w:r>
      <w:hyperlink r:id="rId6" w:history="1">
        <w:r w:rsidRPr="005D30FB">
          <w:rPr>
            <w:rStyle w:val="Collegamentoipertestuale"/>
            <w:rFonts w:ascii="Cambria" w:eastAsia="Cambria" w:hAnsi="Cambria" w:cs="Cambria"/>
            <w:sz w:val="22"/>
            <w:szCs w:val="22"/>
          </w:rPr>
          <w:t>http://dolly.sicurezza.unimore.it/</w:t>
        </w:r>
      </w:hyperlink>
      <w:r w:rsidRPr="005D30FB">
        <w:rPr>
          <w:rFonts w:ascii="Cambria" w:eastAsia="Cambria" w:hAnsi="Cambria" w:cs="Cambria"/>
          <w:sz w:val="22"/>
          <w:szCs w:val="22"/>
        </w:rPr>
        <w:t xml:space="preserve"> utilizzando le proprie credenziali di accesso alla posta elettronica </w:t>
      </w:r>
      <w:proofErr w:type="spellStart"/>
      <w:r w:rsidRPr="005D30FB">
        <w:rPr>
          <w:rFonts w:ascii="Cambria" w:eastAsia="Cambria" w:hAnsi="Cambria" w:cs="Cambria"/>
          <w:sz w:val="22"/>
          <w:szCs w:val="22"/>
        </w:rPr>
        <w:t>Unimore</w:t>
      </w:r>
      <w:proofErr w:type="spellEnd"/>
      <w:r w:rsidRPr="005D30FB">
        <w:rPr>
          <w:rFonts w:ascii="Cambria" w:eastAsia="Cambria" w:hAnsi="Cambria" w:cs="Cambria"/>
          <w:sz w:val="22"/>
          <w:szCs w:val="22"/>
        </w:rPr>
        <w:t>.</w:t>
      </w:r>
    </w:p>
    <w:p w:rsidR="00586A8D" w:rsidRDefault="00B43EE9">
      <w:pPr>
        <w:rPr>
          <w:rFonts w:ascii="Cambria" w:eastAsia="Cambria" w:hAnsi="Cambria" w:cs="Cambria"/>
          <w:sz w:val="22"/>
          <w:szCs w:val="22"/>
        </w:rPr>
      </w:pPr>
      <w:r>
        <w:rPr>
          <w:rFonts w:ascii="Cambria" w:eastAsia="Cambria" w:hAnsi="Cambria" w:cs="Cambria"/>
          <w:sz w:val="22"/>
          <w:szCs w:val="22"/>
        </w:rPr>
        <w:t>Per chi ha frequentato il corso prima del 31/12/2013 è necessario l’AGGIORNAMENTO.</w:t>
      </w:r>
    </w:p>
    <w:p w:rsidR="00586A8D" w:rsidRDefault="00586A8D">
      <w:pPr>
        <w:rPr>
          <w:rFonts w:ascii="Cambria" w:eastAsia="Cambria" w:hAnsi="Cambria" w:cs="Cambria"/>
          <w:sz w:val="28"/>
          <w:szCs w:val="28"/>
        </w:rPr>
      </w:pPr>
    </w:p>
    <w:p w:rsidR="00586A8D" w:rsidRDefault="00B43EE9">
      <w:pPr>
        <w:jc w:val="center"/>
        <w:rPr>
          <w:rFonts w:ascii="Cambria" w:eastAsia="Cambria" w:hAnsi="Cambria" w:cs="Cambria"/>
          <w:b/>
          <w:sz w:val="28"/>
          <w:szCs w:val="28"/>
        </w:rPr>
      </w:pPr>
      <w:r>
        <w:rPr>
          <w:rFonts w:ascii="Cambria" w:eastAsia="Cambria" w:hAnsi="Cambria" w:cs="Cambria"/>
          <w:b/>
          <w:sz w:val="28"/>
          <w:szCs w:val="28"/>
        </w:rPr>
        <w:t>Norme generali di comportamento per l’utilizzo e l’accesso ai laboratori</w:t>
      </w:r>
    </w:p>
    <w:p w:rsidR="00586A8D" w:rsidRDefault="00586A8D">
      <w:pPr>
        <w:jc w:val="center"/>
        <w:rPr>
          <w:rFonts w:ascii="Cambria" w:eastAsia="Cambria" w:hAnsi="Cambria" w:cs="Cambria"/>
          <w:b/>
          <w:sz w:val="32"/>
          <w:szCs w:val="32"/>
        </w:rPr>
      </w:pPr>
    </w:p>
    <w:p w:rsidR="00E55F8C" w:rsidRDefault="00E55F8C" w:rsidP="00E55F8C">
      <w:pPr>
        <w:jc w:val="center"/>
        <w:rPr>
          <w:rFonts w:ascii="Cambria" w:eastAsia="Cambria" w:hAnsi="Cambria" w:cs="Cambria"/>
          <w:sz w:val="22"/>
          <w:szCs w:val="22"/>
        </w:rPr>
      </w:pPr>
      <w:r>
        <w:rPr>
          <w:rFonts w:ascii="Cambria" w:eastAsia="Cambria" w:hAnsi="Cambria" w:cs="Cambria"/>
          <w:sz w:val="22"/>
          <w:szCs w:val="22"/>
        </w:rPr>
        <w:t xml:space="preserve">L’accesso ai laboratori deve essere </w:t>
      </w:r>
      <w:r>
        <w:rPr>
          <w:rFonts w:ascii="Cambria" w:eastAsia="Cambria" w:hAnsi="Cambria" w:cs="Cambria"/>
          <w:sz w:val="22"/>
          <w:szCs w:val="22"/>
          <w:u w:val="single"/>
        </w:rPr>
        <w:t>autorizzato</w:t>
      </w:r>
      <w:r>
        <w:rPr>
          <w:rFonts w:ascii="Cambria" w:eastAsia="Cambria" w:hAnsi="Cambria" w:cs="Cambria"/>
          <w:sz w:val="22"/>
          <w:szCs w:val="22"/>
        </w:rPr>
        <w:t xml:space="preserve"> da un tutor scientifico che dovrà indicare ai referenti tecnici del laboratorio l’attività che sarà svolta, i prodotti che si prevede di utilizzare e il periodo di accesso.</w:t>
      </w:r>
    </w:p>
    <w:p w:rsidR="00E55F8C" w:rsidRDefault="00E55F8C" w:rsidP="00E55F8C">
      <w:pPr>
        <w:jc w:val="center"/>
        <w:rPr>
          <w:rFonts w:ascii="Cambria" w:eastAsia="Cambria" w:hAnsi="Cambria" w:cs="Cambria"/>
          <w:sz w:val="22"/>
          <w:szCs w:val="22"/>
        </w:rPr>
      </w:pPr>
    </w:p>
    <w:p w:rsidR="00586A8D" w:rsidRDefault="00B43EE9">
      <w:pPr>
        <w:jc w:val="center"/>
        <w:rPr>
          <w:rFonts w:ascii="Cambria" w:eastAsia="Cambria" w:hAnsi="Cambria" w:cs="Cambria"/>
          <w:sz w:val="22"/>
          <w:szCs w:val="22"/>
          <w:u w:val="single"/>
        </w:rPr>
      </w:pPr>
      <w:r>
        <w:rPr>
          <w:rFonts w:ascii="Cambria" w:eastAsia="Cambria" w:hAnsi="Cambria" w:cs="Cambria"/>
          <w:sz w:val="22"/>
          <w:szCs w:val="22"/>
          <w:u w:val="single"/>
        </w:rPr>
        <w:t>L’addestramento specifico del lavoratore alle attività di laboratorio e all’utilizzo degli strumenti sono a carico e sotto la responsabilità del tutor scientifico</w:t>
      </w:r>
      <w:r w:rsidR="00111BAB">
        <w:rPr>
          <w:rFonts w:ascii="Cambria" w:eastAsia="Cambria" w:hAnsi="Cambria" w:cs="Cambria"/>
          <w:sz w:val="22"/>
          <w:szCs w:val="22"/>
          <w:u w:val="single"/>
        </w:rPr>
        <w:t>, ovvero dei responsabili delle attività di laboratorio</w:t>
      </w:r>
      <w:r>
        <w:rPr>
          <w:rFonts w:ascii="Cambria" w:eastAsia="Cambria" w:hAnsi="Cambria" w:cs="Cambria"/>
          <w:sz w:val="22"/>
          <w:szCs w:val="22"/>
          <w:u w:val="single"/>
        </w:rPr>
        <w:t>.</w:t>
      </w:r>
    </w:p>
    <w:p w:rsidR="00586A8D" w:rsidRDefault="00586A8D">
      <w:pPr>
        <w:rPr>
          <w:rFonts w:ascii="Cambria" w:eastAsia="Cambria" w:hAnsi="Cambria" w:cs="Cambria"/>
          <w:sz w:val="22"/>
          <w:szCs w:val="22"/>
        </w:rPr>
      </w:pPr>
    </w:p>
    <w:p w:rsidR="00586A8D" w:rsidRDefault="00B43EE9">
      <w:pPr>
        <w:jc w:val="center"/>
        <w:rPr>
          <w:rFonts w:ascii="Cambria" w:eastAsia="Cambria" w:hAnsi="Cambria" w:cs="Cambria"/>
          <w:sz w:val="22"/>
          <w:szCs w:val="22"/>
        </w:rPr>
      </w:pPr>
      <w:r>
        <w:rPr>
          <w:rFonts w:ascii="Cambria" w:eastAsia="Cambria" w:hAnsi="Cambria" w:cs="Cambria"/>
          <w:sz w:val="22"/>
          <w:szCs w:val="22"/>
        </w:rPr>
        <w:t xml:space="preserve">In caso di utilizzo di </w:t>
      </w:r>
      <w:r>
        <w:rPr>
          <w:rFonts w:ascii="Cambria" w:eastAsia="Cambria" w:hAnsi="Cambria" w:cs="Cambria"/>
          <w:sz w:val="22"/>
          <w:szCs w:val="22"/>
          <w:u w:val="single"/>
        </w:rPr>
        <w:t>videoterminale</w:t>
      </w:r>
      <w:r>
        <w:rPr>
          <w:rFonts w:ascii="Cambria" w:eastAsia="Cambria" w:hAnsi="Cambria" w:cs="Cambria"/>
          <w:sz w:val="22"/>
          <w:szCs w:val="22"/>
        </w:rPr>
        <w:t xml:space="preserve"> si raccomanda una pausa di 15 minuti ogni 2 ore di lavoro. </w:t>
      </w:r>
    </w:p>
    <w:p w:rsidR="00586A8D" w:rsidRDefault="00586A8D">
      <w:pPr>
        <w:jc w:val="center"/>
        <w:rPr>
          <w:rFonts w:ascii="Cambria" w:eastAsia="Cambria" w:hAnsi="Cambria" w:cs="Cambria"/>
          <w:sz w:val="22"/>
          <w:szCs w:val="22"/>
        </w:rPr>
      </w:pPr>
    </w:p>
    <w:p w:rsidR="00586A8D" w:rsidRDefault="00B43EE9">
      <w:pPr>
        <w:jc w:val="center"/>
        <w:rPr>
          <w:rFonts w:ascii="Cambria" w:eastAsia="Cambria" w:hAnsi="Cambria" w:cs="Cambria"/>
          <w:sz w:val="22"/>
          <w:szCs w:val="22"/>
        </w:rPr>
      </w:pPr>
      <w:r>
        <w:rPr>
          <w:rFonts w:ascii="Cambria" w:eastAsia="Cambria" w:hAnsi="Cambria" w:cs="Cambria"/>
          <w:sz w:val="22"/>
          <w:szCs w:val="22"/>
        </w:rPr>
        <w:t>È SEVERAMENTE VIETATO FARE ACCEDERE AL LABORATORIO PERSONALE NON AUTORIZZATO.</w:t>
      </w:r>
    </w:p>
    <w:p w:rsidR="00111BAB" w:rsidRDefault="00111BAB">
      <w:pPr>
        <w:jc w:val="center"/>
        <w:rPr>
          <w:rFonts w:ascii="Cambria" w:eastAsia="Cambria" w:hAnsi="Cambria" w:cs="Cambria"/>
          <w:sz w:val="22"/>
          <w:szCs w:val="22"/>
        </w:rPr>
      </w:pPr>
    </w:p>
    <w:p w:rsidR="00B60E65" w:rsidRDefault="00B60E65">
      <w:pPr>
        <w:jc w:val="center"/>
        <w:rPr>
          <w:rFonts w:ascii="Cambria" w:eastAsia="Cambria" w:hAnsi="Cambria" w:cs="Cambria"/>
          <w:sz w:val="22"/>
          <w:szCs w:val="22"/>
          <w:u w:val="single"/>
        </w:rPr>
      </w:pPr>
    </w:p>
    <w:p w:rsidR="00B60E65" w:rsidRDefault="00B60E65">
      <w:pPr>
        <w:jc w:val="center"/>
        <w:rPr>
          <w:rFonts w:ascii="Cambria" w:eastAsia="Cambria" w:hAnsi="Cambria" w:cs="Cambria"/>
          <w:sz w:val="22"/>
          <w:szCs w:val="22"/>
          <w:u w:val="single"/>
        </w:rPr>
      </w:pPr>
    </w:p>
    <w:p w:rsidR="00B60E65" w:rsidRDefault="00B60E65">
      <w:pPr>
        <w:jc w:val="center"/>
        <w:rPr>
          <w:rFonts w:ascii="Cambria" w:eastAsia="Cambria" w:hAnsi="Cambria" w:cs="Cambria"/>
          <w:sz w:val="22"/>
          <w:szCs w:val="22"/>
          <w:u w:val="single"/>
        </w:rPr>
      </w:pPr>
    </w:p>
    <w:p w:rsidR="00B60E65" w:rsidRDefault="00B60E65">
      <w:pPr>
        <w:jc w:val="center"/>
        <w:rPr>
          <w:rFonts w:ascii="Cambria" w:eastAsia="Cambria" w:hAnsi="Cambria" w:cs="Cambria"/>
          <w:sz w:val="22"/>
          <w:szCs w:val="22"/>
          <w:u w:val="single"/>
        </w:rPr>
      </w:pPr>
    </w:p>
    <w:p w:rsidR="00B60E65" w:rsidRDefault="00B60E65">
      <w:pPr>
        <w:jc w:val="center"/>
        <w:rPr>
          <w:rFonts w:ascii="Cambria" w:eastAsia="Cambria" w:hAnsi="Cambria" w:cs="Cambria"/>
          <w:sz w:val="22"/>
          <w:szCs w:val="22"/>
          <w:u w:val="single"/>
        </w:rPr>
      </w:pPr>
    </w:p>
    <w:p w:rsidR="00586A8D" w:rsidRDefault="00B43EE9">
      <w:pPr>
        <w:jc w:val="center"/>
        <w:rPr>
          <w:rFonts w:ascii="Cambria" w:eastAsia="Cambria" w:hAnsi="Cambria" w:cs="Cambria"/>
          <w:sz w:val="22"/>
          <w:szCs w:val="22"/>
          <w:u w:val="single"/>
        </w:rPr>
      </w:pPr>
      <w:bookmarkStart w:id="0" w:name="_GoBack"/>
      <w:bookmarkEnd w:id="0"/>
      <w:r>
        <w:rPr>
          <w:rFonts w:ascii="Cambria" w:eastAsia="Cambria" w:hAnsi="Cambria" w:cs="Cambria"/>
          <w:sz w:val="22"/>
          <w:szCs w:val="22"/>
          <w:u w:val="single"/>
        </w:rPr>
        <w:t>La permanenza nei laboratori e nei locali del Dipartimento di Ingegneria “Enzo Ferrari” è CONSENTITA dal lunedì al venerdì dalle ore 8:00 alle ore 19:00.</w:t>
      </w:r>
    </w:p>
    <w:p w:rsidR="00586A8D" w:rsidRDefault="00586A8D">
      <w:pPr>
        <w:rPr>
          <w:rFonts w:ascii="Cambria" w:eastAsia="Cambria" w:hAnsi="Cambria" w:cs="Cambria"/>
          <w:sz w:val="22"/>
          <w:szCs w:val="22"/>
        </w:rPr>
      </w:pPr>
      <w:bookmarkStart w:id="1" w:name="_gjdgxs" w:colFirst="0" w:colLast="0"/>
      <w:bookmarkEnd w:id="1"/>
    </w:p>
    <w:sectPr w:rsidR="00586A8D">
      <w:headerReference w:type="even" r:id="rId7"/>
      <w:footerReference w:type="default" r:id="rId8"/>
      <w:headerReference w:type="first" r:id="rId9"/>
      <w:footerReference w:type="first" r:id="rId10"/>
      <w:pgSz w:w="11900" w:h="16840"/>
      <w:pgMar w:top="1134" w:right="851" w:bottom="1134" w:left="851" w:header="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D0" w:rsidRDefault="003E2CD0">
      <w:r>
        <w:separator/>
      </w:r>
    </w:p>
  </w:endnote>
  <w:endnote w:type="continuationSeparator" w:id="0">
    <w:p w:rsidR="003E2CD0" w:rsidRDefault="003E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Jacques Francois Shadow">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B43EE9">
    <w:pPr>
      <w:widowControl w:val="0"/>
      <w:pBdr>
        <w:top w:val="nil"/>
        <w:left w:val="nil"/>
        <w:bottom w:val="nil"/>
        <w:right w:val="nil"/>
        <w:between w:val="nil"/>
      </w:pBdr>
      <w:spacing w:line="288" w:lineRule="auto"/>
      <w:rPr>
        <w:rFonts w:ascii="Helvetica Neue" w:eastAsia="Helvetica Neue" w:hAnsi="Helvetica Neue" w:cs="Helvetica Neue"/>
        <w:color w:val="595959"/>
        <w:sz w:val="12"/>
        <w:szCs w:val="12"/>
      </w:rPr>
    </w:pPr>
    <w:r>
      <w:rPr>
        <w:rFonts w:ascii="Helvetica Neue" w:eastAsia="Helvetica Neue" w:hAnsi="Helvetica Neue" w:cs="Helvetica Neue"/>
        <w:color w:val="595959"/>
        <w:sz w:val="12"/>
        <w:szCs w:val="12"/>
      </w:rPr>
      <w:t xml:space="preserve">Partita IVA e codice fiscale: 00427620364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B43EE9">
    <w:pPr>
      <w:widowControl w:val="0"/>
      <w:pBdr>
        <w:top w:val="nil"/>
        <w:left w:val="nil"/>
        <w:bottom w:val="nil"/>
        <w:right w:val="nil"/>
        <w:between w:val="nil"/>
      </w:pBdr>
      <w:spacing w:line="288" w:lineRule="auto"/>
      <w:rPr>
        <w:rFonts w:ascii="Helvetica Neue" w:eastAsia="Helvetica Neue" w:hAnsi="Helvetica Neue" w:cs="Helvetica Neue"/>
        <w:color w:val="595959"/>
        <w:sz w:val="12"/>
        <w:szCs w:val="12"/>
      </w:rPr>
    </w:pPr>
    <w:r>
      <w:rPr>
        <w:rFonts w:ascii="Helvetica Neue" w:eastAsia="Helvetica Neue" w:hAnsi="Helvetica Neue" w:cs="Helvetica Neue"/>
        <w:color w:val="595959"/>
        <w:sz w:val="12"/>
        <w:szCs w:val="12"/>
      </w:rPr>
      <w:t xml:space="preserve">Partita IVA e codice fiscale: 00427620364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D0" w:rsidRDefault="003E2CD0">
      <w:r>
        <w:separator/>
      </w:r>
    </w:p>
  </w:footnote>
  <w:footnote w:type="continuationSeparator" w:id="0">
    <w:p w:rsidR="003E2CD0" w:rsidRDefault="003E2C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586A8D">
    <w:pPr>
      <w:widowControl w:val="0"/>
      <w:pBdr>
        <w:top w:val="nil"/>
        <w:left w:val="nil"/>
        <w:bottom w:val="nil"/>
        <w:right w:val="nil"/>
        <w:between w:val="nil"/>
      </w:pBdr>
      <w:spacing w:line="276" w:lineRule="auto"/>
      <w:rPr>
        <w:rFonts w:ascii="Helvetica Neue" w:eastAsia="Helvetica Neue" w:hAnsi="Helvetica Neue" w:cs="Helvetica Neue"/>
        <w:color w:val="595959"/>
        <w:sz w:val="12"/>
        <w:szCs w:val="12"/>
      </w:rPr>
    </w:pPr>
  </w:p>
  <w:tbl>
    <w:tblPr>
      <w:tblStyle w:val="a"/>
      <w:tblW w:w="10414" w:type="dxa"/>
      <w:tblInd w:w="-1152" w:type="dxa"/>
      <w:tblBorders>
        <w:insideV w:val="single" w:sz="4" w:space="0" w:color="000000"/>
      </w:tblBorders>
      <w:tblLayout w:type="fixed"/>
      <w:tblLook w:val="0400" w:firstRow="0" w:lastRow="0" w:firstColumn="0" w:lastColumn="0" w:noHBand="0" w:noVBand="1"/>
    </w:tblPr>
    <w:tblGrid>
      <w:gridCol w:w="1152"/>
      <w:gridCol w:w="9262"/>
    </w:tblGrid>
    <w:tr w:rsidR="00586A8D">
      <w:tc>
        <w:tcPr>
          <w:tcW w:w="1152" w:type="dxa"/>
        </w:tcPr>
        <w:p w:rsidR="00586A8D" w:rsidRDefault="00B43EE9">
          <w:pPr>
            <w:pBdr>
              <w:top w:val="nil"/>
              <w:left w:val="nil"/>
              <w:bottom w:val="nil"/>
              <w:right w:val="nil"/>
              <w:between w:val="nil"/>
            </w:pBdr>
            <w:tabs>
              <w:tab w:val="center" w:pos="4819"/>
              <w:tab w:val="right" w:pos="9638"/>
            </w:tabs>
            <w:jc w:val="right"/>
            <w:rPr>
              <w:rFonts w:ascii="Cambria" w:eastAsia="Cambria" w:hAnsi="Cambria" w:cs="Cambria"/>
              <w:b/>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tc>
      <w:tc>
        <w:tcPr>
          <w:tcW w:w="9262" w:type="dxa"/>
        </w:tcPr>
        <w:p w:rsidR="00586A8D" w:rsidRDefault="00B43EE9">
          <w:pPr>
            <w:pBdr>
              <w:top w:val="nil"/>
              <w:left w:val="nil"/>
              <w:bottom w:val="nil"/>
              <w:right w:val="nil"/>
              <w:between w:val="nil"/>
            </w:pBdr>
            <w:tabs>
              <w:tab w:val="center" w:pos="4819"/>
              <w:tab w:val="right" w:pos="9638"/>
            </w:tabs>
            <w:rPr>
              <w:rFonts w:ascii="Cambria" w:eastAsia="Cambria" w:hAnsi="Cambria" w:cs="Cambria"/>
              <w:color w:val="000000"/>
            </w:rPr>
          </w:pPr>
          <w:r>
            <w:rPr>
              <w:rFonts w:ascii="Cambria" w:eastAsia="Cambria" w:hAnsi="Cambria" w:cs="Cambria"/>
              <w:color w:val="000000"/>
            </w:rPr>
            <w:t>[Digitare il testo]</w:t>
          </w:r>
        </w:p>
      </w:tc>
    </w:tr>
  </w:tbl>
  <w:p w:rsidR="00586A8D" w:rsidRDefault="00586A8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586A8D">
    <w:pPr>
      <w:pBdr>
        <w:top w:val="nil"/>
        <w:left w:val="nil"/>
        <w:bottom w:val="nil"/>
        <w:right w:val="nil"/>
        <w:between w:val="nil"/>
      </w:pBdr>
      <w:tabs>
        <w:tab w:val="center" w:pos="4819"/>
        <w:tab w:val="right" w:pos="9638"/>
      </w:tabs>
      <w:rPr>
        <w:rFonts w:ascii="Jacques Francois Shadow" w:eastAsia="Jacques Francois Shadow" w:hAnsi="Jacques Francois Shadow" w:cs="Jacques Francois Shadow"/>
        <w:color w:val="000000"/>
      </w:rPr>
    </w:pPr>
  </w:p>
  <w:p w:rsidR="00586A8D" w:rsidRDefault="00B43EE9">
    <w:pPr>
      <w:pBdr>
        <w:top w:val="nil"/>
        <w:left w:val="nil"/>
        <w:bottom w:val="nil"/>
        <w:right w:val="nil"/>
        <w:between w:val="nil"/>
      </w:pBdr>
      <w:tabs>
        <w:tab w:val="center" w:pos="4819"/>
        <w:tab w:val="right" w:pos="9638"/>
      </w:tabs>
      <w:rPr>
        <w:color w:val="000000"/>
      </w:rPr>
    </w:pPr>
    <w:r>
      <w:rPr>
        <w:rFonts w:ascii="Jacques Francois Shadow" w:eastAsia="Jacques Francois Shadow" w:hAnsi="Jacques Francois Shadow" w:cs="Jacques Francois Shadow"/>
        <w:noProof/>
        <w:color w:val="000000"/>
        <w:lang w:val="en-US" w:eastAsia="en-US"/>
      </w:rPr>
      <w:drawing>
        <wp:inline distT="0" distB="0" distL="0" distR="0">
          <wp:extent cx="5045473" cy="1281471"/>
          <wp:effectExtent l="0" t="0" r="0" b="0"/>
          <wp:docPr id="1" name="image2.png" descr="Macintosh HD:Users:lucacea:Desktop:grafica-unimore:buste carte intestate template:carta intestata:prova27taglio.jpg"/>
          <wp:cNvGraphicFramePr/>
          <a:graphic xmlns:a="http://schemas.openxmlformats.org/drawingml/2006/main">
            <a:graphicData uri="http://schemas.openxmlformats.org/drawingml/2006/picture">
              <pic:pic xmlns:pic="http://schemas.openxmlformats.org/drawingml/2006/picture">
                <pic:nvPicPr>
                  <pic:cNvPr id="0" name="image2.png" descr="Macintosh HD:Users:lucacea:Desktop:grafica-unimore:buste carte intestate template:carta intestata:prova27taglio.jpg"/>
                  <pic:cNvPicPr preferRelativeResize="0"/>
                </pic:nvPicPr>
                <pic:blipFill>
                  <a:blip r:embed="rId1"/>
                  <a:srcRect t="14092" b="14814"/>
                  <a:stretch>
                    <a:fillRect/>
                  </a:stretch>
                </pic:blipFill>
                <pic:spPr>
                  <a:xfrm>
                    <a:off x="0" y="0"/>
                    <a:ext cx="5045473" cy="128147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8D"/>
    <w:rsid w:val="00111BAB"/>
    <w:rsid w:val="00233EDF"/>
    <w:rsid w:val="00330568"/>
    <w:rsid w:val="003E2CD0"/>
    <w:rsid w:val="00586A8D"/>
    <w:rsid w:val="005D30FB"/>
    <w:rsid w:val="00B43EE9"/>
    <w:rsid w:val="00B60E65"/>
    <w:rsid w:val="00CD36C2"/>
    <w:rsid w:val="00E55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9169"/>
  <w15:docId w15:val="{F829450B-8A23-49FA-AE06-0B7239C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20" w:after="60" w:line="360" w:lineRule="auto"/>
    </w:pPr>
    <w:rPr>
      <w:b/>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CD36C2"/>
    <w:rPr>
      <w:sz w:val="16"/>
      <w:szCs w:val="16"/>
    </w:rPr>
  </w:style>
  <w:style w:type="character" w:customStyle="1" w:styleId="TestofumettoCarattere">
    <w:name w:val="Testo fumetto Carattere"/>
    <w:basedOn w:val="Carpredefinitoparagrafo"/>
    <w:link w:val="Testofumetto"/>
    <w:uiPriority w:val="99"/>
    <w:semiHidden/>
    <w:rsid w:val="00CD36C2"/>
    <w:rPr>
      <w:sz w:val="16"/>
      <w:szCs w:val="16"/>
    </w:rPr>
  </w:style>
  <w:style w:type="character" w:styleId="Collegamentoipertestuale">
    <w:name w:val="Hyperlink"/>
    <w:basedOn w:val="Carpredefinitoparagrafo"/>
    <w:uiPriority w:val="99"/>
    <w:unhideWhenUsed/>
    <w:rsid w:val="005D3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lly.sicurezza.unimor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Guerra</dc:creator>
  <cp:lastModifiedBy>Francesco GUERRA</cp:lastModifiedBy>
  <cp:revision>3</cp:revision>
  <dcterms:created xsi:type="dcterms:W3CDTF">2018-05-24T13:25:00Z</dcterms:created>
  <dcterms:modified xsi:type="dcterms:W3CDTF">2018-05-24T13:28:00Z</dcterms:modified>
</cp:coreProperties>
</file>